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50" w:rsidRDefault="00D81D50" w:rsidP="00D81D5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CA7DE9">
        <w:rPr>
          <w:rFonts w:ascii="Tahoma" w:hAnsi="Tahoma" w:cs="Tahoma"/>
          <w:b/>
          <w:sz w:val="20"/>
          <w:szCs w:val="20"/>
        </w:rPr>
        <w:t xml:space="preserve">Chart of Account for </w:t>
      </w:r>
      <w:r>
        <w:rPr>
          <w:rFonts w:ascii="Tahoma" w:hAnsi="Tahoma" w:cs="Tahoma"/>
          <w:b/>
          <w:sz w:val="20"/>
          <w:szCs w:val="20"/>
        </w:rPr>
        <w:t>Mifos</w:t>
      </w:r>
    </w:p>
    <w:p w:rsidR="00D81D50" w:rsidRPr="000C5E25" w:rsidRDefault="00D81D50" w:rsidP="00D81D50">
      <w:pPr>
        <w:spacing w:after="0"/>
        <w:rPr>
          <w:rFonts w:ascii="Tahoma" w:hAnsi="Tahoma" w:cs="Tahoma"/>
          <w:sz w:val="20"/>
          <w:szCs w:val="20"/>
        </w:rPr>
      </w:pPr>
    </w:p>
    <w:p w:rsidR="00D81D50" w:rsidRPr="000965A1" w:rsidRDefault="00D81D50" w:rsidP="00D81D50">
      <w:pPr>
        <w:spacing w:after="0"/>
        <w:rPr>
          <w:rFonts w:ascii="Tahoma" w:hAnsi="Tahoma" w:cs="Tahoma"/>
          <w:b/>
          <w:sz w:val="20"/>
          <w:szCs w:val="20"/>
        </w:rPr>
      </w:pPr>
      <w:r w:rsidRPr="000965A1">
        <w:rPr>
          <w:rFonts w:ascii="Tahoma" w:hAnsi="Tahoma" w:cs="Tahoma"/>
          <w:b/>
          <w:sz w:val="20"/>
          <w:szCs w:val="20"/>
        </w:rPr>
        <w:t>Objective of the System</w:t>
      </w:r>
    </w:p>
    <w:p w:rsidR="00D81D50" w:rsidRPr="00F73FA2" w:rsidRDefault="00D81D50" w:rsidP="00D81D50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0"/>
          <w:szCs w:val="20"/>
        </w:rPr>
      </w:pPr>
      <w:r w:rsidRPr="00F73FA2">
        <w:rPr>
          <w:rFonts w:ascii="Tahoma" w:hAnsi="Tahoma" w:cs="Tahoma"/>
          <w:sz w:val="20"/>
          <w:szCs w:val="20"/>
        </w:rPr>
        <w:t>To Store the fiscal calendar year</w:t>
      </w:r>
    </w:p>
    <w:p w:rsidR="00D81D50" w:rsidRDefault="00D81D50" w:rsidP="00D81D50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0"/>
          <w:szCs w:val="20"/>
        </w:rPr>
      </w:pPr>
      <w:r w:rsidRPr="00F73FA2">
        <w:rPr>
          <w:rFonts w:ascii="Tahoma" w:hAnsi="Tahoma" w:cs="Tahoma"/>
          <w:sz w:val="20"/>
          <w:szCs w:val="20"/>
        </w:rPr>
        <w:t>To store chart of accounts under different Categories &amp; subcategories and to map them to the operational transactions.</w:t>
      </w:r>
    </w:p>
    <w:p w:rsidR="00D81D50" w:rsidRDefault="00D81D50" w:rsidP="00D81D50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 store financial transactions related to operations &amp; organization regular receipts and payments.</w:t>
      </w:r>
    </w:p>
    <w:p w:rsidR="00D81D50" w:rsidRDefault="00D81D50" w:rsidP="00D81D50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 maintain the inflow &amp; outflow of an organization</w:t>
      </w:r>
    </w:p>
    <w:p w:rsidR="00D81D50" w:rsidRPr="00F73FA2" w:rsidRDefault="00D81D50" w:rsidP="00D81D50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0"/>
          <w:szCs w:val="20"/>
        </w:rPr>
      </w:pPr>
    </w:p>
    <w:p w:rsidR="00D81D50" w:rsidRPr="000C5E25" w:rsidRDefault="00D81D50" w:rsidP="00D81D50">
      <w:pPr>
        <w:spacing w:after="0"/>
        <w:rPr>
          <w:rFonts w:ascii="Tahoma" w:hAnsi="Tahoma" w:cs="Tahoma"/>
          <w:sz w:val="20"/>
          <w:szCs w:val="20"/>
        </w:rPr>
      </w:pPr>
    </w:p>
    <w:p w:rsidR="00D81D50" w:rsidRPr="000965A1" w:rsidRDefault="00D81D50" w:rsidP="00D81D50">
      <w:pPr>
        <w:spacing w:after="0"/>
        <w:rPr>
          <w:rFonts w:ascii="Tahoma" w:hAnsi="Tahoma" w:cs="Tahoma"/>
          <w:b/>
          <w:sz w:val="20"/>
          <w:szCs w:val="20"/>
        </w:rPr>
      </w:pPr>
      <w:r w:rsidRPr="000965A1">
        <w:rPr>
          <w:rFonts w:ascii="Tahoma" w:hAnsi="Tahoma" w:cs="Tahoma"/>
          <w:b/>
          <w:sz w:val="20"/>
          <w:szCs w:val="20"/>
        </w:rPr>
        <w:t>Defining Financial Year &amp; Periods</w:t>
      </w:r>
    </w:p>
    <w:p w:rsidR="00D81D50" w:rsidRPr="000965A1" w:rsidRDefault="00D81D50" w:rsidP="00D81D50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sz w:val="20"/>
          <w:szCs w:val="20"/>
        </w:rPr>
      </w:pPr>
      <w:r w:rsidRPr="000965A1">
        <w:rPr>
          <w:rFonts w:ascii="Tahoma" w:hAnsi="Tahoma" w:cs="Tahoma"/>
          <w:sz w:val="20"/>
          <w:szCs w:val="20"/>
        </w:rPr>
        <w:t>Provision should be given for defining the fiscal financial year of the MFI.</w:t>
      </w:r>
    </w:p>
    <w:p w:rsidR="00D81D50" w:rsidRPr="000965A1" w:rsidRDefault="00D81D50" w:rsidP="00D81D50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sz w:val="20"/>
          <w:szCs w:val="20"/>
        </w:rPr>
      </w:pPr>
      <w:r w:rsidRPr="000965A1">
        <w:rPr>
          <w:rFonts w:ascii="Tahoma" w:hAnsi="Tahoma" w:cs="Tahoma"/>
          <w:sz w:val="20"/>
          <w:szCs w:val="20"/>
        </w:rPr>
        <w:t>Fiscal FY consists of 12 months period.</w:t>
      </w:r>
    </w:p>
    <w:p w:rsidR="00D81D50" w:rsidRPr="000965A1" w:rsidRDefault="00D81D50" w:rsidP="00D81D50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sz w:val="20"/>
          <w:szCs w:val="20"/>
        </w:rPr>
      </w:pPr>
      <w:r w:rsidRPr="000965A1">
        <w:rPr>
          <w:rFonts w:ascii="Tahoma" w:hAnsi="Tahoma" w:cs="Tahoma"/>
          <w:sz w:val="20"/>
          <w:szCs w:val="20"/>
        </w:rPr>
        <w:t>Provision should be given for setting a period as default for posting the transactions to the specific month.</w:t>
      </w:r>
    </w:p>
    <w:p w:rsidR="00D81D50" w:rsidRDefault="00D81D50" w:rsidP="00D81D50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sz w:val="20"/>
          <w:szCs w:val="20"/>
        </w:rPr>
      </w:pPr>
      <w:r w:rsidRPr="000965A1">
        <w:rPr>
          <w:rFonts w:ascii="Tahoma" w:hAnsi="Tahoma" w:cs="Tahoma"/>
          <w:sz w:val="20"/>
          <w:szCs w:val="20"/>
        </w:rPr>
        <w:t>Provision should be given to Open &amp; close a period of month</w:t>
      </w:r>
    </w:p>
    <w:p w:rsidR="00D81D50" w:rsidRPr="000965A1" w:rsidRDefault="00D81D50" w:rsidP="00D81D50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Transactions will be posted to GL transactions for the period which is open and default, provided if the transactional dates fall under the default open period.</w:t>
      </w:r>
    </w:p>
    <w:p w:rsidR="00D81D50" w:rsidRDefault="00D81D50" w:rsidP="00D81D50">
      <w:pPr>
        <w:spacing w:after="0"/>
        <w:rPr>
          <w:rFonts w:ascii="Tahoma" w:hAnsi="Tahoma" w:cs="Tahoma"/>
          <w:sz w:val="20"/>
          <w:szCs w:val="20"/>
        </w:rPr>
      </w:pPr>
    </w:p>
    <w:p w:rsidR="00D81D50" w:rsidRDefault="00D81D50" w:rsidP="00D81D50">
      <w:pPr>
        <w:spacing w:after="0"/>
        <w:rPr>
          <w:rFonts w:ascii="Tahoma" w:hAnsi="Tahoma" w:cs="Tahoma"/>
          <w:sz w:val="20"/>
          <w:szCs w:val="20"/>
        </w:rPr>
      </w:pPr>
    </w:p>
    <w:p w:rsidR="00D81D50" w:rsidRPr="00F02991" w:rsidRDefault="00D81D50" w:rsidP="00D81D50">
      <w:pPr>
        <w:spacing w:after="0"/>
        <w:rPr>
          <w:rFonts w:ascii="Tahoma" w:hAnsi="Tahoma" w:cs="Tahoma"/>
          <w:b/>
          <w:sz w:val="20"/>
          <w:szCs w:val="20"/>
        </w:rPr>
      </w:pPr>
      <w:r w:rsidRPr="00F02991">
        <w:rPr>
          <w:rFonts w:ascii="Tahoma" w:hAnsi="Tahoma" w:cs="Tahoma"/>
          <w:b/>
          <w:sz w:val="20"/>
          <w:szCs w:val="20"/>
        </w:rPr>
        <w:t>Hierarchy for defining Chart of Accounts are mainly categorized as</w:t>
      </w:r>
    </w:p>
    <w:p w:rsidR="00D81D50" w:rsidRPr="000C5E25" w:rsidRDefault="00D81D50" w:rsidP="00D81D50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0C5E25">
        <w:rPr>
          <w:rFonts w:ascii="Tahoma" w:hAnsi="Tahoma" w:cs="Tahoma"/>
          <w:sz w:val="20"/>
          <w:szCs w:val="20"/>
        </w:rPr>
        <w:t>Assets</w:t>
      </w:r>
    </w:p>
    <w:p w:rsidR="00D81D50" w:rsidRPr="000C5E25" w:rsidRDefault="00D81D50" w:rsidP="00D81D50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0C5E25">
        <w:rPr>
          <w:rFonts w:ascii="Tahoma" w:hAnsi="Tahoma" w:cs="Tahoma"/>
          <w:sz w:val="20"/>
          <w:szCs w:val="20"/>
        </w:rPr>
        <w:t>Liabilities</w:t>
      </w:r>
    </w:p>
    <w:p w:rsidR="00D81D50" w:rsidRPr="000C5E25" w:rsidRDefault="00D81D50" w:rsidP="00D81D50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0C5E25">
        <w:rPr>
          <w:rFonts w:ascii="Tahoma" w:hAnsi="Tahoma" w:cs="Tahoma"/>
          <w:sz w:val="20"/>
          <w:szCs w:val="20"/>
        </w:rPr>
        <w:t>Income</w:t>
      </w:r>
    </w:p>
    <w:p w:rsidR="00D81D50" w:rsidRPr="000C5E25" w:rsidRDefault="00D81D50" w:rsidP="00D81D50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0C5E25">
        <w:rPr>
          <w:rFonts w:ascii="Tahoma" w:hAnsi="Tahoma" w:cs="Tahoma"/>
          <w:sz w:val="20"/>
          <w:szCs w:val="20"/>
        </w:rPr>
        <w:t>Expenses</w:t>
      </w:r>
    </w:p>
    <w:p w:rsidR="00D81D50" w:rsidRDefault="00D81D50" w:rsidP="00D81D50">
      <w:pPr>
        <w:spacing w:after="0"/>
        <w:rPr>
          <w:rFonts w:ascii="Tahoma" w:hAnsi="Tahoma" w:cs="Tahoma"/>
          <w:sz w:val="20"/>
          <w:szCs w:val="20"/>
        </w:rPr>
      </w:pPr>
    </w:p>
    <w:p w:rsidR="00D81D50" w:rsidRPr="000C5E25" w:rsidRDefault="00D81D50" w:rsidP="00D81D50">
      <w:pPr>
        <w:spacing w:after="0"/>
        <w:rPr>
          <w:rFonts w:ascii="Tahoma" w:hAnsi="Tahoma" w:cs="Tahoma"/>
          <w:sz w:val="20"/>
          <w:szCs w:val="20"/>
        </w:rPr>
      </w:pPr>
      <w:r w:rsidRPr="000C5E25">
        <w:rPr>
          <w:rFonts w:ascii="Tahoma" w:hAnsi="Tahoma" w:cs="Tahoma"/>
          <w:sz w:val="20"/>
          <w:szCs w:val="20"/>
        </w:rPr>
        <w:t>All the above mentioned main categories can be again Sub-categorized</w:t>
      </w:r>
      <w:r>
        <w:rPr>
          <w:rFonts w:ascii="Tahoma" w:hAnsi="Tahoma" w:cs="Tahoma"/>
          <w:sz w:val="20"/>
          <w:szCs w:val="20"/>
        </w:rPr>
        <w:t xml:space="preserve"> into multiple levels</w:t>
      </w:r>
      <w:r w:rsidRPr="000C5E25">
        <w:rPr>
          <w:rFonts w:ascii="Tahoma" w:hAnsi="Tahoma" w:cs="Tahoma"/>
          <w:sz w:val="20"/>
          <w:szCs w:val="20"/>
        </w:rPr>
        <w:t>. There should be flexibility for power users to set the level of hierarchy structure required for setting the chart of accounts.</w:t>
      </w:r>
    </w:p>
    <w:p w:rsidR="00D81D50" w:rsidRDefault="00D81D50" w:rsidP="00D81D50">
      <w:pPr>
        <w:spacing w:after="0"/>
        <w:rPr>
          <w:rFonts w:ascii="Tahoma" w:hAnsi="Tahoma" w:cs="Tahoma"/>
          <w:sz w:val="20"/>
          <w:szCs w:val="20"/>
        </w:rPr>
      </w:pPr>
    </w:p>
    <w:p w:rsidR="00D81D50" w:rsidRPr="00DC2E90" w:rsidRDefault="00D81D50" w:rsidP="00D81D50">
      <w:pPr>
        <w:spacing w:after="0"/>
        <w:rPr>
          <w:rFonts w:ascii="Tahoma" w:hAnsi="Tahoma" w:cs="Tahoma"/>
          <w:b/>
          <w:sz w:val="20"/>
          <w:szCs w:val="20"/>
        </w:rPr>
      </w:pPr>
      <w:r w:rsidRPr="00DC2E90">
        <w:rPr>
          <w:rFonts w:ascii="Tahoma" w:hAnsi="Tahoma" w:cs="Tahoma"/>
          <w:b/>
          <w:sz w:val="20"/>
          <w:szCs w:val="20"/>
        </w:rPr>
        <w:t>Columns for Chart of Account</w:t>
      </w:r>
    </w:p>
    <w:p w:rsidR="00D81D50" w:rsidRDefault="00D81D50" w:rsidP="00D81D50">
      <w:pPr>
        <w:spacing w:after="0"/>
        <w:rPr>
          <w:rFonts w:ascii="Tahoma" w:hAnsi="Tahoma" w:cs="Tahoma"/>
          <w:sz w:val="20"/>
          <w:szCs w:val="20"/>
        </w:rPr>
      </w:pPr>
    </w:p>
    <w:p w:rsidR="00D81D50" w:rsidRPr="00ED0213" w:rsidRDefault="00D81D50" w:rsidP="00D81D50">
      <w:pPr>
        <w:spacing w:after="0"/>
        <w:rPr>
          <w:rFonts w:ascii="Tahoma" w:hAnsi="Tahoma" w:cs="Tahoma"/>
          <w:b/>
          <w:sz w:val="20"/>
          <w:szCs w:val="20"/>
        </w:rPr>
      </w:pPr>
      <w:r w:rsidRPr="00ED0213">
        <w:rPr>
          <w:rFonts w:ascii="Tahoma" w:hAnsi="Tahoma" w:cs="Tahoma"/>
          <w:b/>
          <w:sz w:val="20"/>
          <w:szCs w:val="20"/>
        </w:rPr>
        <w:t>Super Group</w:t>
      </w:r>
    </w:p>
    <w:p w:rsidR="00D81D50" w:rsidRDefault="00D81D50" w:rsidP="00D81D5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Super Group Code &amp; Description</w:t>
      </w:r>
    </w:p>
    <w:p w:rsidR="00D81D50" w:rsidRDefault="00D81D50" w:rsidP="00D81D5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Main Group: Income / Expenses / Assets &amp; Liabilities</w:t>
      </w:r>
    </w:p>
    <w:p w:rsidR="00D81D50" w:rsidRDefault="00D81D50" w:rsidP="00D81D50">
      <w:pPr>
        <w:spacing w:after="0"/>
        <w:rPr>
          <w:rFonts w:ascii="Tahoma" w:hAnsi="Tahoma" w:cs="Tahoma"/>
          <w:sz w:val="20"/>
          <w:szCs w:val="20"/>
        </w:rPr>
      </w:pPr>
    </w:p>
    <w:p w:rsidR="00D81D50" w:rsidRPr="00D81D50" w:rsidRDefault="00D81D50" w:rsidP="00D81D50">
      <w:pPr>
        <w:spacing w:after="0"/>
        <w:rPr>
          <w:rFonts w:ascii="Tahoma" w:hAnsi="Tahoma" w:cs="Tahoma"/>
          <w:b/>
          <w:sz w:val="20"/>
          <w:szCs w:val="20"/>
        </w:rPr>
      </w:pPr>
      <w:r w:rsidRPr="00D81D50">
        <w:rPr>
          <w:rFonts w:ascii="Tahoma" w:hAnsi="Tahoma" w:cs="Tahoma"/>
          <w:b/>
          <w:sz w:val="20"/>
          <w:szCs w:val="20"/>
        </w:rPr>
        <w:t>Sub-Group</w:t>
      </w:r>
    </w:p>
    <w:p w:rsidR="00D81D50" w:rsidRDefault="00D81D50" w:rsidP="00D81D5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Sub-group code &amp; description</w:t>
      </w:r>
    </w:p>
    <w:p w:rsidR="00D81D50" w:rsidRDefault="00D81D50" w:rsidP="00D81D5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Super group drop down</w:t>
      </w:r>
    </w:p>
    <w:p w:rsidR="00D81D50" w:rsidRDefault="00D81D50" w:rsidP="00D81D50">
      <w:pPr>
        <w:spacing w:after="0"/>
        <w:rPr>
          <w:rFonts w:ascii="Tahoma" w:hAnsi="Tahoma" w:cs="Tahoma"/>
          <w:sz w:val="20"/>
          <w:szCs w:val="20"/>
        </w:rPr>
      </w:pPr>
    </w:p>
    <w:p w:rsidR="00D81D50" w:rsidRPr="00ED0213" w:rsidRDefault="00D81D50" w:rsidP="00D81D50">
      <w:pPr>
        <w:spacing w:after="0"/>
        <w:rPr>
          <w:rFonts w:ascii="Tahoma" w:hAnsi="Tahoma" w:cs="Tahoma"/>
          <w:b/>
          <w:sz w:val="20"/>
          <w:szCs w:val="20"/>
        </w:rPr>
      </w:pPr>
      <w:r w:rsidRPr="00ED0213">
        <w:rPr>
          <w:rFonts w:ascii="Tahoma" w:hAnsi="Tahoma" w:cs="Tahoma"/>
          <w:b/>
          <w:sz w:val="20"/>
          <w:szCs w:val="20"/>
        </w:rPr>
        <w:t>COA Master</w:t>
      </w:r>
    </w:p>
    <w:p w:rsidR="00D81D50" w:rsidRDefault="00D81D50" w:rsidP="00D81D5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COA Code &amp; Description</w:t>
      </w:r>
    </w:p>
    <w:p w:rsidR="00D81D50" w:rsidRDefault="00D81D50" w:rsidP="00D81D5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Sub-group code selection</w:t>
      </w:r>
    </w:p>
    <w:p w:rsidR="00D81D50" w:rsidRDefault="00D81D50" w:rsidP="00D81D50">
      <w:pPr>
        <w:spacing w:after="0"/>
        <w:rPr>
          <w:rFonts w:ascii="Tahoma" w:hAnsi="Tahoma" w:cs="Tahoma"/>
          <w:sz w:val="20"/>
          <w:szCs w:val="20"/>
        </w:rPr>
      </w:pPr>
    </w:p>
    <w:p w:rsidR="00D81D50" w:rsidRDefault="00D81D50" w:rsidP="00D81D5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There should be a provision for selecting COA code &amp; Description while creating Operational Masters </w:t>
      </w:r>
      <w:proofErr w:type="gramStart"/>
      <w:r>
        <w:rPr>
          <w:rFonts w:ascii="Tahoma" w:hAnsi="Tahoma" w:cs="Tahoma"/>
          <w:sz w:val="20"/>
          <w:szCs w:val="20"/>
        </w:rPr>
        <w:t>data</w:t>
      </w:r>
      <w:proofErr w:type="gramEnd"/>
      <w:r>
        <w:rPr>
          <w:rFonts w:ascii="Tahoma" w:hAnsi="Tahoma" w:cs="Tahoma"/>
          <w:sz w:val="20"/>
          <w:szCs w:val="20"/>
        </w:rPr>
        <w:t xml:space="preserve"> Ex. Savings, Loans, Penalties, Late Fee, Adjustments, Re-scheduling, Write-off, Application fees etc.,</w:t>
      </w:r>
    </w:p>
    <w:p w:rsidR="00E32944" w:rsidRDefault="00E32944"/>
    <w:sectPr w:rsidR="00E32944" w:rsidSect="001379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55D1F"/>
    <w:multiLevelType w:val="hybridMultilevel"/>
    <w:tmpl w:val="83DABB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DB6AF8"/>
    <w:multiLevelType w:val="hybridMultilevel"/>
    <w:tmpl w:val="D862BF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F5C40"/>
    <w:multiLevelType w:val="hybridMultilevel"/>
    <w:tmpl w:val="908857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81D50"/>
    <w:rsid w:val="001379B4"/>
    <w:rsid w:val="00D81D50"/>
    <w:rsid w:val="00E32944"/>
    <w:rsid w:val="00F1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</dc:creator>
  <cp:keywords/>
  <dc:description/>
  <cp:lastModifiedBy>Shiva</cp:lastModifiedBy>
  <cp:revision>3</cp:revision>
  <dcterms:created xsi:type="dcterms:W3CDTF">2012-09-20T04:42:00Z</dcterms:created>
  <dcterms:modified xsi:type="dcterms:W3CDTF">2012-09-20T04:48:00Z</dcterms:modified>
</cp:coreProperties>
</file>